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480" w:after="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pl-PL"/>
        </w:rPr>
        <w:t>ANEKSU NR 1 DO STATUTU</w:t>
        <w:br/>
        <w:t>SZKOŁY PODSTAWOWEJ IM. JANA PAWŁA II W NĘTNIE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Na podstawie art. 98 i art. 99 ustawy z dnia 14 grudnia 2016 r. – Prawo oświatowe (Dz.U. z</w:t>
      </w:r>
      <w:r>
        <w:rPr>
          <w:rFonts w:cs="Times New Roman" w:ascii="Times New Roman" w:hAnsi="Times New Roman"/>
          <w:sz w:val="24"/>
          <w:szCs w:val="24"/>
          <w:lang w:val="pl-PL"/>
        </w:rPr>
        <w:t> 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 2024 r. poz. 737 z późn. zm.) oraz § 2 rozporządzenia Ministra Edukacji Narodowej z  dnia 17 marca 2017 r. w sprawie szczegółowej organizacji publicznych szkół i  publicznych przedszkoli, Rada Pedagogiczna Szkoły Podstawowej im. Jana Pawła II w  Nętnie uchwala, co następuje:</w:t>
      </w:r>
    </w:p>
    <w:p>
      <w:pPr>
        <w:pStyle w:val="Heading2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pl-PL"/>
        </w:rPr>
        <w:t>§ 2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W statucie szkoły wprowadza się następujące zmiany: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1. W zakresie organizacji nauczania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a) Od 1 września 2025 r. w szkole wprowadza się now</w:t>
      </w:r>
      <w:r>
        <w:rPr>
          <w:rFonts w:cs="Times New Roman" w:ascii="Times New Roman" w:hAnsi="Times New Roman"/>
          <w:sz w:val="24"/>
          <w:szCs w:val="24"/>
          <w:lang w:val="pl-PL"/>
        </w:rPr>
        <w:t>y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 przedmiot edukacja zdrowotna, realizowany zgodnie z obowiązującą podstawą programową określoną w rozporządzeniu Ministra Edukacji.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W § 36 uchylono pkt. 1  zapis o  zajęciach dodatkowych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pl-PL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pl-PL" w:eastAsia="pl-PL"/>
        </w:rPr>
        <w:t>zajęcia wychowania do życia 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pl-PL" w:eastAsia="pl-PL"/>
        </w:rPr>
        <w:t> 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pl-PL" w:eastAsia="pl-PL"/>
        </w:rPr>
        <w:t xml:space="preserve"> rodzinie; dopisano do pkt. 13 inne – edukacja zdrowotna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Tytuł § 36b – Wychowanie do życia w rodzinie – zamieniono na Edukację zdrowotną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W § 36b pkt. 1. Uchylono zapis „</w:t>
      </w:r>
      <w:r>
        <w:rPr>
          <w:rFonts w:eastAsia="Times New Roman" w:cs="Times New Roman" w:ascii="Times New Roman" w:hAnsi="Times New Roman"/>
          <w:sz w:val="24"/>
          <w:szCs w:val="24"/>
          <w:lang w:val="pl-PL" w:eastAsia="pl-PL"/>
        </w:rPr>
        <w:t>Dla wszystkich uczniów klasy IV-VIII organizowane są zajęcia edukacyjne „Wychowanie do życia w rodzinie”, na zasadach określonych                 w</w:t>
      </w:r>
      <w:r>
        <w:rPr>
          <w:rFonts w:eastAsia="Times New Roman" w:cs="Times New Roman" w:ascii="Times New Roman" w:hAnsi="Times New Roman"/>
          <w:sz w:val="24"/>
          <w:szCs w:val="24"/>
          <w:lang w:val="pl-PL" w:eastAsia="pl-PL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val="pl-PL" w:eastAsia="pl-PL"/>
        </w:rPr>
        <w:t>  odrębnych przepisach”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W § 36b pkt. dodano zapis „W szkole organizuje się zajęcia z przedmiotu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  <w:lang w:val="pl-PL"/>
        </w:rPr>
        <w:t>Edukacja zdrowotna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pl-PL"/>
        </w:rPr>
        <w:t>, którego celem jest kształtowanie postaw i zachowań sprzyjających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 zdrowiu fizycznemu, psychicznemu i społecznemu uczniów. Przedmiot realizowany jest w  wymiarze godzin określonym w ramowym planie nauczania, zgodnie z podstawą programową określoną przez Ministra Edukacji.”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/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/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2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. W zakresie organizacji </w:t>
      </w:r>
      <w:r>
        <w:rPr>
          <w:rFonts w:cs="Times New Roman" w:ascii="Times New Roman" w:hAnsi="Times New Roman"/>
          <w:sz w:val="24"/>
          <w:szCs w:val="24"/>
          <w:lang w:val="pl-PL"/>
        </w:rPr>
        <w:t>pomocy psychologiczno – pedagogicznej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pl-PL"/>
        </w:rPr>
        <w:t xml:space="preserve">W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§39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Dopisano do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p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kt. 1.1. </w:t>
      </w:r>
    </w:p>
    <w:p>
      <w:pPr>
        <w:pStyle w:val="Normal"/>
        <w:numPr>
          <w:ilvl w:val="1"/>
          <w:numId w:val="8"/>
        </w:numPr>
        <w:tabs>
          <w:tab w:val="clear" w:pos="720"/>
          <w:tab w:val="left" w:pos="284" w:leader="none"/>
          <w:tab w:val="left" w:pos="426" w:leader="none"/>
        </w:tabs>
        <w:spacing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val="pl-PL" w:eastAsia="pl-PL"/>
        </w:rPr>
        <w:t xml:space="preserve">rozmowy indywidualne z pedagogiem szkolnym;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pl-PL" w:eastAsia="pl-PL"/>
        </w:rPr>
        <w:t xml:space="preserve">pedagogiem specjalnym, psychologiem.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/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3</w:t>
      </w:r>
      <w:r>
        <w:rPr>
          <w:rFonts w:cs="Times New Roman" w:ascii="Times New Roman" w:hAnsi="Times New Roman"/>
          <w:sz w:val="24"/>
          <w:szCs w:val="24"/>
          <w:lang w:val="pl-PL"/>
        </w:rPr>
        <w:t>. W zakresie dokumentacji szkolnej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W § 31 dodano zapis dotyczący dokumentacji szkolnej w pkt.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4) </w:t>
      </w:r>
      <w:bookmarkStart w:id="0" w:name="_Hlk211363522"/>
      <w:r>
        <w:rPr>
          <w:rFonts w:cs="Times New Roman" w:ascii="Times New Roman" w:hAnsi="Times New Roman"/>
          <w:sz w:val="24"/>
          <w:szCs w:val="24"/>
          <w:lang w:val="pl-PL"/>
        </w:rPr>
        <w:t>Szkoła może wydawać uczniom legitymacje szkolne w formie elektronicznej (mLegitymacja), zgodnie z przepisami wydanymi przez Ministra Edukacji oraz Ministra Cyfryzacji.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5) Świadectwa szkolne i inne dokumenty przebiegu nauczania mogą być wystawiane w</w:t>
      </w:r>
      <w:r>
        <w:rPr>
          <w:rFonts w:ascii="Times New Roman" w:hAnsi="Times New Roman" w:cs="Times New Roman"/>
          <w:sz w:val="24"/>
          <w:sz w:val="24"/>
          <w:szCs w:val="24"/>
          <w:lang w:val="pl-PL"/>
        </w:rPr>
        <w:t>ؘ</w:t>
      </w:r>
      <w:r>
        <w:rPr>
          <w:rFonts w:ascii="Times New Roman" w:hAnsi="Times New Roman" w:cs="Times New Roman"/>
          <w:sz w:val="24"/>
          <w:sz w:val="24"/>
          <w:szCs w:val="24"/>
          <w:lang w:val="pl-PL"/>
        </w:rPr>
        <w:t xml:space="preserve">  </w:t>
      </w:r>
      <w:r>
        <w:rPr>
          <w:rFonts w:cs="Times New Roman" w:ascii="Times New Roman" w:hAnsi="Times New Roman"/>
          <w:sz w:val="24"/>
          <w:szCs w:val="24"/>
          <w:lang w:val="pl-PL"/>
        </w:rPr>
        <w:t>formie elektronicznej, zgodnie z obowiązującymi przepisami prawa.</w:t>
      </w:r>
      <w:bookmarkEnd w:id="0"/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4</w:t>
      </w:r>
      <w:r>
        <w:rPr>
          <w:rFonts w:cs="Times New Roman" w:ascii="Times New Roman" w:hAnsi="Times New Roman"/>
          <w:sz w:val="24"/>
          <w:szCs w:val="24"/>
          <w:lang w:val="pl-PL"/>
        </w:rPr>
        <w:t>. W zakresie praw i obowiązków uczniów</w:t>
      </w:r>
    </w:p>
    <w:p>
      <w:pPr>
        <w:pStyle w:val="Normal"/>
        <w:tabs>
          <w:tab w:val="clear" w:pos="720"/>
          <w:tab w:val="left" w:pos="284" w:leader="none"/>
          <w:tab w:val="left" w:pos="426" w:leader="none"/>
        </w:tabs>
        <w:spacing w:before="0"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W </w:t>
      </w:r>
      <w:r>
        <w:rPr>
          <w:rFonts w:eastAsia="Times New Roman" w:cs="Times New Roman" w:ascii="Times New Roman" w:hAnsi="Times New Roman"/>
          <w:sz w:val="24"/>
          <w:szCs w:val="24"/>
          <w:lang w:val="pl-PL" w:eastAsia="pl-PL"/>
        </w:rPr>
        <w:t>§72 Dodano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1" w:name="_Hlk211365112"/>
      <w:r>
        <w:rPr>
          <w:rFonts w:cs="Times New Roman" w:ascii="Times New Roman" w:hAnsi="Times New Roman"/>
          <w:sz w:val="24"/>
          <w:szCs w:val="24"/>
          <w:lang w:val="pl-PL"/>
        </w:rPr>
        <w:t>Pkt. 7 Uczeń ma obowiązek dbania o własne zdrowie i bezpieczeństwo.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2" w:name="_Hlk211365112"/>
      <w:r>
        <w:rPr>
          <w:rFonts w:cs="Times New Roman" w:ascii="Times New Roman" w:hAnsi="Times New Roman"/>
          <w:sz w:val="24"/>
          <w:szCs w:val="24"/>
          <w:lang w:val="pl-PL"/>
        </w:rPr>
        <w:t>Pkt. 8. Uczeń ma prawo  uczestniczenia w zajęciach z zakresu edukacji zdrowotnej, w  ramach których rozwija wiedzę i umiejętności dotyczące zdrowego stylu życia i bezpiecznych zachowań.</w:t>
      </w:r>
      <w:bookmarkEnd w:id="2"/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5</w:t>
      </w:r>
      <w:r>
        <w:rPr>
          <w:rFonts w:cs="Times New Roman" w:ascii="Times New Roman" w:hAnsi="Times New Roman"/>
          <w:sz w:val="24"/>
          <w:szCs w:val="24"/>
          <w:lang w:val="pl-PL"/>
        </w:rPr>
        <w:t>. W zakresie przepisów końcowych</w:t>
      </w:r>
    </w:p>
    <w:p>
      <w:pPr>
        <w:pStyle w:val="Normal"/>
        <w:tabs>
          <w:tab w:val="clear" w:pos="720"/>
          <w:tab w:val="left" w:pos="284" w:leader="none"/>
          <w:tab w:val="left" w:pos="426" w:leader="none"/>
        </w:tabs>
        <w:spacing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pl-PL"/>
        </w:rPr>
        <w:t xml:space="preserve">W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val="pl-PL" w:eastAsia="pl-PL"/>
        </w:rPr>
        <w:t xml:space="preserve">§ 80 Dodano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3" w:name="_Hlk211365248"/>
      <w:r>
        <w:rPr>
          <w:rFonts w:cs="Times New Roman" w:ascii="Times New Roman" w:hAnsi="Times New Roman"/>
          <w:sz w:val="24"/>
          <w:szCs w:val="24"/>
          <w:lang w:val="pl-PL"/>
        </w:rPr>
        <w:t>Pkt. 3 Wszelkie zmiany statutu wprowadza się w drodze uchwały Rady Pedagogicznej, z  zachowaniem przepisów ustawy Prawo oświatowe.</w:t>
      </w:r>
      <w:bookmarkEnd w:id="3"/>
    </w:p>
    <w:p>
      <w:pPr>
        <w:pStyle w:val="Heading2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pl-PL"/>
        </w:rPr>
        <w:t>§ 3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Uchwała wchodzi w życie z dniem </w:t>
      </w:r>
      <w:r>
        <w:rPr>
          <w:rFonts w:cs="Times New Roman" w:ascii="Times New Roman" w:hAnsi="Times New Roman"/>
          <w:sz w:val="24"/>
          <w:szCs w:val="24"/>
          <w:lang w:val="pl-PL"/>
        </w:rPr>
        <w:t>15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 września 2025r.</w:t>
      </w:r>
    </w:p>
    <w:p>
      <w:pPr>
        <w:pStyle w:val="Heading2"/>
        <w:spacing w:lineRule="auto" w:line="36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pl-PL"/>
        </w:rPr>
        <w:t>Uzasadnienie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Zmiany wprowadza się w związku z wejściem w życie nowych przepisów prawa oświatowego dotyczących:</w:t>
        <w:br/>
        <w:t>- wprowadzenia przedmiotu Edukacja zdrowotna,</w:t>
        <w:br/>
        <w:t>- możliwości stosowania dokumentów szkolnych w formie elektronicznej,</w:t>
        <w:br/>
        <w:t>- aktualizacji zasad organizacji lekcji religii i etyki,</w:t>
        <w:br/>
        <w:t>- dostosowania statutu do wymogów dotyczących oddziałów przedszkolnych.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/>
      </w:r>
    </w:p>
    <w:p>
      <w:pPr>
        <w:pStyle w:val="Heading1"/>
        <w:spacing w:lineRule="auto" w:line="36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pl-PL"/>
        </w:rPr>
        <w:t>UCHWAŁA NR …/2025 RADY PEDAGOGICZNEJ</w:t>
        <w:br/>
        <w:t>SZKOŁY PODSTAWOWEJ IM. JANA PAWŁA II W NĘTNIE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 xml:space="preserve">z dnia </w:t>
      </w:r>
      <w:r>
        <w:rPr>
          <w:rFonts w:cs="Times New Roman" w:ascii="Times New Roman" w:hAnsi="Times New Roman"/>
          <w:sz w:val="24"/>
          <w:szCs w:val="24"/>
          <w:lang w:val="pl-PL"/>
        </w:rPr>
        <w:t xml:space="preserve">15 września </w:t>
      </w:r>
      <w:r>
        <w:rPr>
          <w:rFonts w:cs="Times New Roman" w:ascii="Times New Roman" w:hAnsi="Times New Roman"/>
          <w:sz w:val="24"/>
          <w:szCs w:val="24"/>
          <w:lang w:val="pl-PL"/>
        </w:rPr>
        <w:t>2025r.</w:t>
        <w:br/>
        <w:br/>
        <w:t>w sprawie wprowadzenia Aneksu nr 1 do Statutu Szkoły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§ 1.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Rada Pedagogiczna Szkoły Podstawowej im. Jana Pawła II w Nętnie przyjmuje Aneks nr 1 do Statutu Szkoły w brzmieniu stanowiącym załącznik do niniejszej uchwały.</w:t>
        <w:br/>
        <w:br/>
        <w:t>§ 2.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Aneks wchodzi w życie z dniem 15 września 2025r.</w:t>
        <w:br/>
        <w:br/>
        <w:t>§ 3.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Uchwała podlega ogłoszeniu w sposób przyjęty w szkole.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br/>
        <w:br/>
        <w:t>Przewodniczący Rady Pedagogicznej: ________________________</w:t>
      </w:r>
    </w:p>
    <w:p>
      <w:pPr>
        <w:pStyle w:val="Normal"/>
        <w:spacing w:lineRule="auto" w:line="360" w:before="0" w:after="20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  <w:lang w:val="pl-PL"/>
        </w:rPr>
        <w:t>Dyrektor Szkoły: ________________________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mbria" w:hAnsi="Cambria" w:eastAsia="ＭＳ 明朝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libri" w:hAnsi="Calibri" w:eastAsia="ＭＳ ゴシック" w:cs="Tahoma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libri" w:hAnsi="Calibri" w:eastAsia="ＭＳ ゴシック" w:cs="Tahoma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libri" w:hAnsi="Calibri" w:eastAsia="ＭＳ ゴシック" w:cs="Tahoma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libri" w:hAnsi="Calibri" w:eastAsia="ＭＳ ゴシック" w:cs="Tahoma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libri" w:hAnsi="Calibri" w:eastAsia="ＭＳ ゴシック" w:cs="Tahoma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libri" w:hAnsi="Calibri" w:eastAsia="ＭＳ ゴシック" w:cs="Tahoma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libri" w:hAnsi="Calibri" w:eastAsia="ＭＳ ゴシック" w:cs="Tahoma"/>
      <w:i/>
      <w:iCs/>
      <w:color w:themeColor="dark1" w:themeTint="bf" w:val="404040"/>
    </w:rPr>
  </w:style>
  <w:style w:type="paragraph" w:styleId="Heading8">
    <w:name w:val="heading 8"/>
    <w:basedOn w:val="Normal"/>
    <w:next w:val="Normal"/>
    <w:link w:val="Nagwek8Znak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libri" w:hAnsi="Calibri" w:eastAsia="ＭＳ ゴシック" w:cs="Tahoma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Nagwek9Znak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libri" w:hAnsi="Calibri" w:eastAsia="ＭＳ ゴシック" w:cs="Tahoma"/>
      <w:i/>
      <w:iCs/>
      <w:color w:themeColor="dark1" w:themeTint="bf" w:val="404040"/>
      <w:sz w:val="20"/>
      <w:szCs w:val="20"/>
    </w:rPr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Nagwek1Znak">
    <w:name w:val="Nagłówek 1 Znak"/>
    <w:basedOn w:val="DefaultParagraphFont"/>
    <w:qFormat/>
    <w:rPr>
      <w:rFonts w:ascii="Calibri" w:hAnsi="Calibri" w:eastAsia="ＭＳ ゴシック" w:cs="Tahoma"/>
      <w:b/>
      <w:bCs/>
      <w:color w:themeColor="accent1" w:themeShade="bf" w:val="365F91"/>
      <w:sz w:val="28"/>
      <w:szCs w:val="28"/>
    </w:rPr>
  </w:style>
  <w:style w:type="character" w:styleId="Nagwek2Znak">
    <w:name w:val="Nagłówek 2 Znak"/>
    <w:basedOn w:val="DefaultParagraphFont"/>
    <w:qFormat/>
    <w:rPr>
      <w:rFonts w:ascii="Calibri" w:hAnsi="Calibri" w:eastAsia="ＭＳ ゴシック" w:cs="Tahoma"/>
      <w:b/>
      <w:bCs/>
      <w:color w:themeColor="accent1" w:val="4F81BD"/>
      <w:sz w:val="26"/>
      <w:szCs w:val="26"/>
    </w:rPr>
  </w:style>
  <w:style w:type="character" w:styleId="Nagwek3Znak">
    <w:name w:val="Nagłówek 3 Znak"/>
    <w:basedOn w:val="DefaultParagraphFont"/>
    <w:qFormat/>
    <w:rPr>
      <w:rFonts w:ascii="Calibri" w:hAnsi="Calibri" w:eastAsia="ＭＳ ゴシック" w:cs="Tahoma"/>
      <w:b/>
      <w:bCs/>
      <w:color w:themeColor="accent1" w:val="4F81BD"/>
    </w:rPr>
  </w:style>
  <w:style w:type="character" w:styleId="TytuZnak">
    <w:name w:val="Tytuł Znak"/>
    <w:basedOn w:val="DefaultParagraphFont"/>
    <w:qFormat/>
    <w:rPr>
      <w:rFonts w:ascii="Calibri" w:hAnsi="Calibri" w:eastAsia="ＭＳ ゴシック" w:cs="Tahoma"/>
      <w:color w:themeColor="dark2" w:themeShade="bf" w:val="17365D"/>
      <w:spacing w:val="5"/>
      <w:kern w:val="2"/>
      <w:sz w:val="52"/>
      <w:szCs w:val="52"/>
    </w:rPr>
  </w:style>
  <w:style w:type="character" w:styleId="PodtytuZnak">
    <w:name w:val="Podtytuł Znak"/>
    <w:basedOn w:val="DefaultParagraphFont"/>
    <w:qFormat/>
    <w:rPr>
      <w:rFonts w:ascii="Calibri" w:hAnsi="Calibri" w:eastAsia="ＭＳ ゴシック" w:cs="Tahoma"/>
      <w:i/>
      <w:iCs/>
      <w:color w:themeColor="accent1" w:val="4F81BD"/>
      <w:spacing w:val="15"/>
      <w:sz w:val="24"/>
      <w:szCs w:val="24"/>
    </w:rPr>
  </w:style>
  <w:style w:type="character" w:styleId="TekstpodstawowyZnak">
    <w:name w:val="Tekst podstawowy Znak"/>
    <w:basedOn w:val="DefaultParagraphFont"/>
    <w:qFormat/>
    <w:rPr/>
  </w:style>
  <w:style w:type="character" w:styleId="Tekstpodstawowy2Znak">
    <w:name w:val="Tekst podstawowy 2 Znak"/>
    <w:basedOn w:val="DefaultParagraphFont"/>
    <w:link w:val="BodyText2"/>
    <w:qFormat/>
    <w:rPr/>
  </w:style>
  <w:style w:type="character" w:styleId="Tekstpodstawowy3Znak">
    <w:name w:val="Tekst podstawowy 3 Znak"/>
    <w:basedOn w:val="DefaultParagraphFont"/>
    <w:link w:val="BodyText3"/>
    <w:qFormat/>
    <w:rPr>
      <w:sz w:val="16"/>
      <w:szCs w:val="16"/>
    </w:rPr>
  </w:style>
  <w:style w:type="character" w:styleId="TekstmakraZnak">
    <w:name w:val="Tekst makra Znak"/>
    <w:basedOn w:val="DefaultParagraphFont"/>
    <w:link w:val="MacroText"/>
    <w:qFormat/>
    <w:rPr>
      <w:rFonts w:ascii="Courier" w:hAnsi="Courier"/>
      <w:sz w:val="20"/>
      <w:szCs w:val="20"/>
    </w:rPr>
  </w:style>
  <w:style w:type="character" w:styleId="CytatZnak">
    <w:name w:val="Cytat Znak"/>
    <w:basedOn w:val="DefaultParagraphFont"/>
    <w:link w:val="Quote"/>
    <w:qFormat/>
    <w:rPr>
      <w:i/>
      <w:iCs/>
      <w:color w:themeColor="dark1" w:val="000000"/>
    </w:rPr>
  </w:style>
  <w:style w:type="character" w:styleId="Nagwek4Znak">
    <w:name w:val="Nagłówek 4 Znak"/>
    <w:basedOn w:val="DefaultParagraphFont"/>
    <w:qFormat/>
    <w:rPr>
      <w:rFonts w:ascii="Calibri" w:hAnsi="Calibri" w:eastAsia="ＭＳ ゴシック" w:cs="Tahoma"/>
      <w:b/>
      <w:bCs/>
      <w:i/>
      <w:iCs/>
      <w:color w:themeColor="accent1" w:val="4F81BD"/>
    </w:rPr>
  </w:style>
  <w:style w:type="character" w:styleId="Nagwek5Znak">
    <w:name w:val="Nagłówek 5 Znak"/>
    <w:basedOn w:val="DefaultParagraphFont"/>
    <w:qFormat/>
    <w:rPr>
      <w:rFonts w:ascii="Calibri" w:hAnsi="Calibri" w:eastAsia="ＭＳ ゴシック" w:cs="Tahoma"/>
      <w:color w:themeColor="accent1" w:themeShade="7f" w:val="243F60"/>
    </w:rPr>
  </w:style>
  <w:style w:type="character" w:styleId="Nagwek6Znak">
    <w:name w:val="Nagłówek 6 Znak"/>
    <w:basedOn w:val="DefaultParagraphFont"/>
    <w:qFormat/>
    <w:rPr>
      <w:rFonts w:ascii="Calibri" w:hAnsi="Calibri" w:eastAsia="ＭＳ ゴシック" w:cs="Tahoma"/>
      <w:i/>
      <w:iCs/>
      <w:color w:themeColor="accent1" w:themeShade="7f" w:val="243F60"/>
    </w:rPr>
  </w:style>
  <w:style w:type="character" w:styleId="Nagwek7Znak">
    <w:name w:val="Nagłówek 7 Znak"/>
    <w:basedOn w:val="DefaultParagraphFont"/>
    <w:qFormat/>
    <w:rPr>
      <w:rFonts w:ascii="Calibri" w:hAnsi="Calibri" w:eastAsia="ＭＳ ゴシック" w:cs="Tahoma"/>
      <w:i/>
      <w:iCs/>
      <w:color w:themeColor="dark1" w:themeTint="bf" w:val="404040"/>
    </w:rPr>
  </w:style>
  <w:style w:type="character" w:styleId="Nagwek8Znak">
    <w:name w:val="Nagłówek 8 Znak"/>
    <w:basedOn w:val="DefaultParagraphFont"/>
    <w:qFormat/>
    <w:rPr>
      <w:rFonts w:ascii="Calibri" w:hAnsi="Calibri" w:eastAsia="ＭＳ ゴシック" w:cs="Tahoma"/>
      <w:color w:themeColor="accent1" w:val="4F81BD"/>
      <w:sz w:val="20"/>
      <w:szCs w:val="20"/>
    </w:rPr>
  </w:style>
  <w:style w:type="character" w:styleId="Nagwek9Znak">
    <w:name w:val="Nagłówek 9 Znak"/>
    <w:basedOn w:val="DefaultParagraphFont"/>
    <w:qFormat/>
    <w:rPr>
      <w:rFonts w:ascii="Calibri" w:hAnsi="Calibri" w:eastAsia="ＭＳ ゴシック" w:cs="Tahoma"/>
      <w:i/>
      <w:iCs/>
      <w:color w:themeColor="dark1" w:themeTint="bf"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CytatintensywnyZnak">
    <w:name w:val="Cytat intensywny Znak"/>
    <w:basedOn w:val="DefaultParagraphFont"/>
    <w:link w:val="IntenseQuote"/>
    <w:qFormat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qFormat/>
    <w:rPr>
      <w:i/>
      <w:iCs/>
      <w:color w:themeColor="dark1" w:themeTint="7f"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qFormat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mbria" w:hAnsi="Cambria" w:eastAsia="ＭＳ 明朝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Tahoma"/>
      <w:color w:themeColor="dark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qFormat/>
    <w:pPr/>
    <w:rPr>
      <w:rFonts w:ascii="Calibri" w:hAnsi="Calibri" w:eastAsia="ＭＳ ゴシック" w:cs="Tahoma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Tekstpodstawowy2Znak"/>
    <w:qFormat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qFormat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qFormat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qFormat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pPr>
      <w:numPr>
        <w:ilvl w:val="0"/>
        <w:numId w:val="2"/>
      </w:numPr>
      <w:spacing w:before="0" w:after="200"/>
      <w:contextualSpacing/>
    </w:pPr>
    <w:rPr/>
  </w:style>
  <w:style w:type="paragraph" w:styleId="ListBullet2">
    <w:name w:val="List Bullet 2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ListBullet3">
    <w:name w:val="List Bullet 3"/>
    <w:basedOn w:val="Normal"/>
    <w:pPr>
      <w:numPr>
        <w:ilvl w:val="0"/>
        <w:numId w:val="4"/>
      </w:numPr>
      <w:spacing w:before="0" w:after="200"/>
      <w:contextualSpacing/>
    </w:pPr>
    <w:rPr/>
  </w:style>
  <w:style w:type="paragraph" w:styleId="ListNumber">
    <w:name w:val="List Number"/>
    <w:basedOn w:val="Normal"/>
    <w:pPr>
      <w:numPr>
        <w:ilvl w:val="0"/>
        <w:numId w:val="5"/>
      </w:numPr>
      <w:spacing w:before="0" w:after="200"/>
      <w:contextualSpacing/>
    </w:pPr>
    <w:rPr/>
  </w:style>
  <w:style w:type="paragraph" w:styleId="ListNumber2">
    <w:name w:val="List Number 2"/>
    <w:basedOn w:val="Normal"/>
    <w:pPr>
      <w:numPr>
        <w:ilvl w:val="0"/>
        <w:numId w:val="6"/>
      </w:numPr>
      <w:spacing w:before="0" w:after="200"/>
      <w:contextualSpacing/>
    </w:pPr>
    <w:rPr/>
  </w:style>
  <w:style w:type="paragraph" w:styleId="ListNumber3">
    <w:name w:val="List Number 3"/>
    <w:basedOn w:val="Normal"/>
    <w:pPr>
      <w:numPr>
        <w:ilvl w:val="0"/>
        <w:numId w:val="7"/>
      </w:numPr>
      <w:spacing w:before="0" w:after="200"/>
      <w:contextualSpacing/>
    </w:pPr>
    <w:rPr/>
  </w:style>
  <w:style w:type="paragraph" w:styleId="ListContinue">
    <w:name w:val="List Continue"/>
    <w:basedOn w:val="Normal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pPr>
      <w:spacing w:before="0" w:after="120"/>
      <w:ind w:left="1080"/>
      <w:contextualSpacing/>
    </w:pPr>
    <w:rPr/>
  </w:style>
  <w:style w:type="paragraph" w:styleId="MacroText">
    <w:name w:val="macro"/>
    <w:link w:val="TekstmakraZnak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ourier" w:hAnsi="Courier" w:eastAsia="ＭＳ 明朝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qFormat/>
    <w:pPr/>
    <w:rPr>
      <w:i/>
      <w:iCs/>
      <w:color w:themeColor="dark1" w:val="000000"/>
    </w:rPr>
  </w:style>
  <w:style w:type="paragraph" w:styleId="IntenseQuote">
    <w:name w:val="Intense Quote"/>
    <w:basedOn w:val="Normal"/>
    <w:next w:val="Normal"/>
    <w:link w:val="CytatintensywnyZnak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numbering" w:styleId="Bezlisty">
    <w:name w:val="Bez listy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LibreOffice/24.8.0.3$Windows_X86_64 LibreOffice_project/0bdf1299c94fe897b119f97f3c613e9dca6be583</Application>
  <AppVersion>15.0000</AppVersion>
  <Pages>5</Pages>
  <Words>510</Words>
  <Characters>2990</Characters>
  <CharactersWithSpaces>3510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2025-10-14T16:34:00Z</dcterms:created>
  <dc:creator>python-docx</dc:creator>
  <dc:description>generated by python-docx</dc:description>
  <dc:language>pl-PL</dc:language>
  <cp:lastModifiedBy/>
  <dcterms:modified xsi:type="dcterms:W3CDTF">2025-10-15T08:42:15Z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